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Fragebogen Frühkindliche Reflexe </w:t>
      </w:r>
      <w:r>
        <w:rPr/>
        <w:t>bei</w:t>
      </w:r>
      <w:r>
        <w:rPr/>
        <w:t xml:space="preserve"> Erwachsene</w:t>
      </w:r>
      <w:r>
        <w:rPr/>
        <w:t>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Name:</w:t>
        <w:tab/>
        <w:t>____________________________________________________________</w:t>
        <w:tab/>
        <w:t xml:space="preserve">          Alter:_______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  1</w:t>
      </w:r>
      <w:r>
        <w:rPr>
          <w:sz w:val="24"/>
          <w:szCs w:val="24"/>
        </w:rPr>
        <w:t>=</w:t>
      </w:r>
      <w:r>
        <w:rPr>
          <w:sz w:val="24"/>
          <w:szCs w:val="24"/>
        </w:rPr>
        <w:t>trifft nicht zu,…</w:t>
        <w:tab/>
        <w:t>3=trifft teilweise zu,…</w:t>
        <w:tab/>
        <w:t>5</w:t>
      </w:r>
      <w:r>
        <w:rPr>
          <w:sz w:val="24"/>
          <w:szCs w:val="24"/>
        </w:rPr>
        <w:t>=</w:t>
      </w:r>
      <w:r>
        <w:rPr>
          <w:sz w:val="24"/>
          <w:szCs w:val="24"/>
        </w:rPr>
        <w:t>trifft zu</w:t>
      </w:r>
    </w:p>
    <w:tbl>
      <w:tblPr>
        <w:tblW w:w="10520" w:type="dxa"/>
        <w:jc w:val="left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10"/>
        <w:gridCol w:w="7630"/>
        <w:gridCol w:w="450"/>
        <w:gridCol w:w="1930"/>
      </w:tblGrid>
      <w:tr>
        <w:trPr>
          <w:tblHeader w:val="true"/>
        </w:trPr>
        <w:tc>
          <w:tcPr>
            <w:tcW w:w="5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</w:tcPr>
          <w:p>
            <w:pPr>
              <w:pStyle w:val="Tabelleninhalt"/>
              <w:numPr>
                <w:ilvl w:val="0"/>
                <w:numId w:val="0"/>
              </w:numPr>
              <w:spacing w:before="0" w:after="0"/>
              <w:ind w:left="0" w:right="0" w:hanging="0"/>
              <w:jc w:val="center"/>
              <w:rPr>
                <w:rFonts w:ascii="Calibri" w:hAnsi="Calibri" w:eastAsia="SimSun" w:cs="Arial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/>
                <w:bCs/>
                <w:kern w:val="2"/>
                <w:sz w:val="22"/>
                <w:szCs w:val="22"/>
                <w:lang w:eastAsia="zh-CN" w:bidi="hi-IN"/>
              </w:rPr>
              <w:t>Nr.:</w:t>
            </w:r>
          </w:p>
        </w:tc>
        <w:tc>
          <w:tcPr>
            <w:tcW w:w="7630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Symptome, Merkmale,</w:t>
            </w:r>
          </w:p>
        </w:tc>
        <w:tc>
          <w:tcPr>
            <w:tcW w:w="450" w:type="dxa"/>
            <w:tcBorders>
              <w:top w:val="single" w:sz="10" w:space="0" w:color="000000"/>
              <w:bottom w:val="single" w:sz="10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93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pStyle w:val="Tabelleninha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Hinweis auf ...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widowControl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center"/>
              <w:textAlignment w:val="baseline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Ängstlich, nicht gerne alleine sein </w:t>
            </w:r>
            <w:r>
              <w:rPr>
                <w:rFonts w:ascii="Calibri" w:hAnsi="Calibri"/>
                <w:sz w:val="22"/>
                <w:szCs w:val="22"/>
              </w:rPr>
              <w:t>wollen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weinen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widowControl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Geringe Stresstoleranz und wenig Selbstschutz in Stressmomenten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Kein Selbstvertrauen, Angst zu versagen, braucht viel Zuspruch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Bindung, </w:t>
            </w:r>
            <w:r>
              <w:rPr>
                <w:rFonts w:ascii="Calibri" w:hAnsi="Calibri"/>
                <w:sz w:val="22"/>
                <w:szCs w:val="22"/>
              </w:rPr>
              <w:t>Bauer</w:t>
            </w:r>
          </w:p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Benötigt viel Aufmerksamkeit und Anerkennung, Familienclown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sich selbst und die Umwelt ablehnend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Bindung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Kommt mit Autoritäten schlecht zurecht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Provoziert gerne, übernimmt Sündenbockrolle um Anerkennung/Aufmerksamkeit zu erreichen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Coabhängige Beziehungen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Nachtragend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Bindung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Hypoxie (= Sauerstoffmangel)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Atemsch.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Luftanhalten im falschen Moment (z.B. Fallschirmspringen, Tauchen, etc.)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Atemsch.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Handlungsschwierigkeiten und schlechte Konzentration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SPGR, Atemsch.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Überempfindlichkeit des vestibulären Systems (Gleichgewichtsprobleme)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Hypersensibilität (Überempfindlichkeit) auf → Licht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 xml:space="preserve">                                                                              → </w:t>
            </w: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Berührung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SPPR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 xml:space="preserve">                                                                              → </w:t>
            </w: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Geruch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 xml:space="preserve">                                                                              → </w:t>
            </w: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Geschmack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 xml:space="preserve">                                                                              → </w:t>
            </w: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(Hintergrund-) Geräusche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 xml:space="preserve">                                                                              → </w:t>
            </w: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Tiefensensibilität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Eingeschränktes peripheres Sichtfeld (hauptsächlich Wahrnehmung der Dinge um sich herum)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Moro, Glabella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Hohes Stresslevel, Angst und Aggression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Schwierigkeiten mit der Atmung, Kurzatmigkeit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Druck im Oberbauch (Diaphragmatonus)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Schwaches Selbstwertgefühl und Unausgeglichenheit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Gefühl von Schutzlosigkeit, Unsicherheit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Moro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Niedriger Muskeltonus (durch mangelnde Kleinhirnstimulation)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Koordinationsprobleme (Raum, Entfernung, Abstand, Tiefe können schwer abgeschätzt werden)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Eher unordentlich und chaotisch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Verspannungen im Schulter-Nacken-Bereich (hoher Muskeltonus)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Orientierungsprobleme (schlechte räumliche Orientierung)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Höhenangst, Schwindel und Reiseübelkeit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Erstarren in einer Schrecksituation: unsicheres Innehalten, wenn Handlung nötig wäre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Geschwächtes Immunsystem, Häufige Infekte und Allergien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Ängste: Ängstlicher, unruhiger Typus, Trennungsängste, Schulängste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FLR, Bauer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Aktivierung der Überlebensmuster. Freisetzung von Stresshormonen (Adrenalin und Cortisol erhöht)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FLR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Bauer</w:t>
            </w:r>
          </w:p>
          <w:p>
            <w:pPr>
              <w:pStyle w:val="Tabelleninha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Probleme mit Aufmerksamkeit / Konzentration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FLR, Landau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Serotonin-/ Aminosäuren-Mangel und Gluten-Intoleranz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STNR, FLR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geringe Stresstoleranz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widowControl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center"/>
              <w:textAlignment w:val="baseline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Eingeschränktes Denkvermögen und Handlungsschwierigkeiten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widowControl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0"/>
              <w:ind w:left="113" w:right="0" w:hanging="0"/>
              <w:jc w:val="center"/>
              <w:textAlignment w:val="baseline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Gedrehtes Becken, Beinlängendifferenz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Koordinations- und Gleichgewichtsprobleme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Kurzsichtigkeit und Leseschwäche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BWS-Kyphose (Buckel)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Sitzen mit untergeschlagenen Beinen (vermehrte Anspannung in den Beinen), sowie schlechte Körperhaltung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Mangelnde Sicherheit, Leichtigkeit, Lockerheit und Freude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STNR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Schlechte Körper- / Sitzhaltung Kopf (oft auf Hände gestützt) und Blick eher nach unten gerichtet Behinderung der Atmung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Landau, TLR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Schlechte Körperkoordination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Landau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Schlechte Ausdauer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Landau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Magen- / Darmprobleme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Landau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Beine sehr angespannt und nach hinten gestreckt (hoher Muskeltonus in den Extensoren)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Landau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Knieprobleme bis hin zur Kniearthrose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Amphibien, Landau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Hüftprobleme bis hin zur Hüftarthrose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Schwerfälligkeit beim Gehen (fehlende Knieflexion)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Amphibien, Schreit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Bein(e) gestreckt beim Gehen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Schüchternheit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Probleme mit der Koordination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Lernstörungen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Amphibien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Hüft- und Knieprobleme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Motorische Unruhe und Hyperaktivität (Zappeliges Verhalten v.a. beim Sitzen)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Allgemeiner Nährstoffmangel (Vitamine, Mineralstoffe und Aminosäuren)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Sich selbst klein machen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</w:t>
            </w:r>
          </w:p>
        </w:tc>
      </w:tr>
      <w:tr>
        <w:trPr>
          <w:trHeight w:val="298" w:hRule="atLeast"/>
        </w:trPr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Rücken- und Beckenschmerzen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Fehlen von flüssigen Bewegungsabläufen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SPGR, Such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Einseitige Krümmung der Wirbelsäule (Skoliose)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SPGR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Unkoordinierte Arm- und Beinbewegungen (vor allem bei Überkreuzbewegungen)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Rechts-Links-Schwäche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Ischias und gedrehtes Becken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Lese- und Rechtschreibschwäche (LRS)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Nackenverspannungen sowie Knie- und Hüftprobleme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Gestörte Hand-Auge-Koordination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Schlafstörungen, Unruhe und unglücklich sein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Muskuläre Verspannungen in den Beinen und Fehlspannungen im ganzen Körper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Babinski, Schreit, Steig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Schwache Knöchel und Probleme mit den Sprunggelenken (häufigeres Umknicken möglich)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Fußfehlstellungen und Gangstörungen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Hüftschmerzen und Hüftarthrose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Schwaches Fußgewölbe (Platt-, Senk-, Spreizfuß)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Schwache Balance und Koordination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Hammerzehen und Hühneraugen (sowie Löcher in den Strümpfen am großen Zeh)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O- / X-Beine Fuß-, Knie-, Hüftprobleme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Babinski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Knie- und Hüftprobleme bis hin zur Arthrose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Schreit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Mentale Unsicherheit und Schwierigkeiten, klare Entscheidungen zu treffen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Schreit, Plantar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Ungeduld und Ruhelosigkeit oder Antriebslosigkeit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Schreit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Geringer Selbstwert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Schreit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Empfindlichkeit bei Berührung der Handflächen und des Gesichts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Babkin/Palmar, Greif, Saug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Unwillkürliche Mund- / Zungenbewegungen und verstärkter Speichelfluss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Schlechte Feinmotorik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Störung im Stoffwechsel von Vitamin B6, Mangan, Phosphate und Methylfolate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Spannungen im Kiefergelenk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 xml:space="preserve">Babkin/Palmar, Plantar 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Muskelfehlspannung in den Armen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Depressionen und Lebenskrisen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Unruhe und leichte Reizbarkeit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Schulter-Nacken-Verspannungen / allgemeine Angespanntheit (fehlende Lockerheit, Gelassenheit und Ausgeglichenheit)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Hochzieh, 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Hüft- und Kniegelenksprobleme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Wirbelsäulenprobleme (Hyperlordose in der Lenden-/Halswirbelsäule, Bandscheibenvorfälle)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SPPR, ATNR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Fehlender Weit- / Überblick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Makro- und Mikronährstoffmangel durch erhöhten Verbrauch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Geringer Selbstwert/Selbstvertrauen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SPPR, Atemsch., Amphibien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Feste, falsche und/oder verkrampfte Stifthaltung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Greif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Kopfschmerzen bis hin zur Migräne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Greif, Hochzieh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Mangelhafte Grobmotorik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Greif, Hochzieh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Unsichere Hand-Auge-Koordination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Greif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Geringe manuelle Geschicklichkeit (bei differenzierten Fingerbewegungen)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Greif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Störung des Fußgewölbes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Plantar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Fehlbelastung des Fußes schlechte Fußmotorik und Abrollbewegung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Plantar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Hüft- und Knieprobleme bis hin zur Arthrose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SPPR, SPGR, Amphibien Schreit, Plantar, Babinski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Zehengänger (Achillessehnenverkürzungen)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TLR, Landau, Plantar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Ischias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Plantar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Mühsames Schreiben / nicht schön Schreiben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Hochzieh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Muskelfehlspannung in den Händen und Armen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Greif, Hochzieh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Vermehrte Stressanfälligkeit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Hochzieh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Süchte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Hochzieh, Such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Knie- und Hüftprobleme bis hin zur Arthrose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Beine sehr angespannt (hoher Muskeltonus in den Extensoren)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Fehlende innere Ruhe und geringer Selbstwert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Beine gestreckt beim Gehen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Vornübergebeugte Körperhaltung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Koordinations- / Gleichgewichtsprobleme (schlechte Körperkoordination)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Unkoordinierte Beinbewegungen / Schlurfen (Fallneigung z.B. an Bordsteinkanten)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Steig, Schreit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Angststörungen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Such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Artikulationsprobleme (Zunge liegt nicht an richtiger Stelle)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Such, Saug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Schlafstörungen / Schnarchen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Such, Saug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Schlechte manuelle Geschicklichkeit (Hand-Mund-Koordination)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Such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Darmträgheit dadurch Resorptions- und Verdauungsstörungen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Such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Mangelnde Selbstfürsorge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Such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Zähneknirschen und Zahnfehlstellungen ( da Zunge vorne an den Zähnen)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Babkin/Palmar, Plantar, Greif, Saug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Verschlucken und Probleme beim Essen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Saug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Generell offener Mund und erhöhter Speichelfluss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Saug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Zunge hängt aus dem Mund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Saug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Unruhiger, verkrampfter Typus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Glabella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Leichte Reizbarkeit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Glabella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Schlechte Bildwahrnehmung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Glabella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Hypersensibilität (Überempfindlichkeit auf Licht, Berührung, Geräusche)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Glabella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Angespannte Mimik und Schwierigkeiten bei der Visualisierung von Objekten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Glabella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/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Fehlende Schutzhaltung bei Stürzen (z.B. Sturz aufs Gesicht, ohne sich abzufangen)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Sturz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Fehlende Schutzreaktion, wenn ein Objekt auf sein Gesicht oder seinen Körper zufliegt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Sturz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Es fehlen: emotionale Ruhe, geringer Selbstwert, Lockerheit, Ausgeglichenheit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Sturz, Hochzieh, Schreit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Hohes Stresslevel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Bauer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Schlafprobleme und Ängste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Bauer</w:t>
            </w:r>
          </w:p>
        </w:tc>
      </w:tr>
      <w:tr>
        <w:trPr/>
        <w:tc>
          <w:tcPr>
            <w:tcW w:w="51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elleninhalt"/>
              <w:numPr>
                <w:ilvl w:val="0"/>
                <w:numId w:val="1"/>
              </w:numPr>
              <w:ind w:left="411" w:right="0" w:hanging="360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763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elleninhalt"/>
              <w:jc w:val="left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Abgrenzungsprobleme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59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elleninhalt"/>
              <w:jc w:val="center"/>
              <w:rPr>
                <w:rFonts w:ascii="Calibri" w:hAnsi="Calibri" w:eastAsia="SimSun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kern w:val="2"/>
                <w:sz w:val="22"/>
                <w:szCs w:val="22"/>
                <w:lang w:eastAsia="zh-CN" w:bidi="hi-IN"/>
              </w:rPr>
              <w:t>Bauer</w:t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Anmerkungen:</w:t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2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59"/>
              <w:ind w:left="0" w:right="0" w:hanging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Textbody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sectPr>
      <w:headerReference w:type="default" r:id="rId2"/>
      <w:footerReference w:type="default" r:id="rId3"/>
      <w:type w:val="nextPage"/>
      <w:pgSz w:w="11906" w:h="16838"/>
      <w:pgMar w:left="680" w:right="680" w:gutter="0" w:header="340" w:top="964" w:footer="340" w:bottom="8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>
        <w:sz w:val="22"/>
        <w:szCs w:val="22"/>
      </w:rPr>
      <w:t xml:space="preserve">Fragebogen retour senden an: </w:t>
    </w:r>
    <w:hyperlink r:id="rId1">
      <w:r>
        <w:rPr>
          <w:rStyle w:val="Internetverknpfung"/>
          <w:sz w:val="22"/>
          <w:szCs w:val="22"/>
        </w:rPr>
        <w:t>thomas@</w:t>
      </w:r>
      <w:r>
        <w:rPr>
          <w:rStyle w:val="Internetverknpfung"/>
          <w:rFonts w:eastAsia="SimSun" w:cs="Arial"/>
          <w:kern w:val="2"/>
          <w:sz w:val="22"/>
          <w:szCs w:val="22"/>
          <w:lang w:eastAsia="zh-CN" w:bidi="hi-IN"/>
        </w:rPr>
        <w:t>kinder-und-jugendcoaching.</w:t>
      </w:r>
      <w:r>
        <w:rPr>
          <w:rStyle w:val="Internetverknpfung"/>
          <w:rFonts w:eastAsia="SimSun" w:cs="Arial"/>
          <w:kern w:val="2"/>
          <w:sz w:val="22"/>
          <w:szCs w:val="22"/>
          <w:lang w:eastAsia="zh-CN" w:bidi="hi-IN"/>
        </w:rPr>
        <w:t>at</w:t>
      </w:r>
    </w:hyperlink>
    <w:r>
      <w:rPr/>
      <w:tab/>
    </w:r>
    <w:r>
      <w:rPr>
        <w:sz w:val="22"/>
        <w:szCs w:val="22"/>
      </w:rPr>
      <w:t xml:space="preserve">Reflexintegrationstrainer: </w:t>
    </w:r>
    <w:r>
      <w:rPr>
        <w:sz w:val="20"/>
        <w:szCs w:val="20"/>
      </w:rPr>
      <w:t>Thomas Kohlfürst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pageBreakBefore w:val="false"/>
      <w:rPr/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2707005</wp:posOffset>
          </wp:positionH>
          <wp:positionV relativeFrom="paragraph">
            <wp:posOffset>-50800</wp:posOffset>
          </wp:positionV>
          <wp:extent cx="648335" cy="365125"/>
          <wp:effectExtent l="0" t="0" r="0" b="0"/>
          <wp:wrapSquare wrapText="largest"/>
          <wp:docPr id="1" name="Bild2 Kopi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 Kopi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rFonts w:ascii="Calibri" w:hAnsi="Calibri" w:eastAsia="SimSun" w:cs="Arial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kern w:val="2"/>
        <w:rFonts w:ascii="Calibri" w:hAnsi="Calibri" w:eastAsia="SimSun" w:cs="Arial"/>
        <w:lang w:eastAsia="zh-CN" w:bidi="hi-I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kern w:val="2"/>
        <w:rFonts w:ascii="Calibri" w:hAnsi="Calibri" w:eastAsia="SimSun" w:cs="Arial"/>
        <w:lang w:eastAsia="zh-C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kern w:val="2"/>
        <w:rFonts w:ascii="Calibri" w:hAnsi="Calibri" w:eastAsia="SimSun" w:cs="Arial"/>
        <w:lang w:eastAsia="zh-CN" w:bidi="hi-I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kern w:val="2"/>
        <w:rFonts w:ascii="Calibri" w:hAnsi="Calibri" w:eastAsia="SimSun" w:cs="Arial"/>
        <w:lang w:eastAsia="zh-CN" w:bidi="hi-IN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  <w:rPr>
        <w:kern w:val="2"/>
        <w:rFonts w:ascii="Calibri" w:hAnsi="Calibri" w:eastAsia="SimSun" w:cs="Arial"/>
        <w:lang w:eastAsia="zh-C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kern w:val="2"/>
        <w:rFonts w:ascii="Calibri" w:hAnsi="Calibri" w:eastAsia="SimSun" w:cs="Arial"/>
        <w:lang w:eastAsia="zh-CN" w:bidi="hi-I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kern w:val="2"/>
        <w:rFonts w:ascii="Calibri" w:hAnsi="Calibri" w:eastAsia="SimSun" w:cs="Arial"/>
        <w:lang w:eastAsia="zh-CN" w:bidi="hi-IN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  <w:rPr>
        <w:kern w:val="2"/>
        <w:rFonts w:ascii="Calibri" w:hAnsi="Calibri" w:eastAsia="SimSun" w:cs="Arial"/>
        <w:lang w:eastAsia="zh-CN" w:bidi="hi-IN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4"/>
        <w:szCs w:val="22"/>
        <w:lang w:val="de-DE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Calibri" w:hAnsi="Calibri" w:eastAsia="SimSun" w:cs="Arial"/>
      <w:color w:val="auto"/>
      <w:kern w:val="2"/>
      <w:sz w:val="24"/>
      <w:szCs w:val="24"/>
      <w:lang w:eastAsia="zh-CN" w:bidi="hi-IN" w:val="de-DE"/>
    </w:rPr>
  </w:style>
  <w:style w:type="character" w:styleId="DefaultParagraphFont">
    <w:name w:val="Default Paragraph Font"/>
    <w:qFormat/>
    <w:rPr/>
  </w:style>
  <w:style w:type="character" w:styleId="SprechblasentextZchn">
    <w:name w:val="Sprechblasentext Zchn"/>
    <w:basedOn w:val="DefaultParagraphFont"/>
    <w:qFormat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Internetverknpfung">
    <w:name w:val="Hyperlink"/>
    <w:rPr>
      <w:color w:val="000080"/>
      <w:u w:val="single"/>
      <w:lang w:val="zxx" w:eastAsia="zxx" w:bidi="zxx"/>
    </w:rPr>
  </w:style>
  <w:style w:type="character" w:styleId="Nummerierungszeichen">
    <w:name w:val="Nummerierungszeichen"/>
    <w:qFormat/>
    <w:rPr>
      <w:rFonts w:ascii="Calibri" w:hAnsi="Calibri" w:eastAsia="SimSun" w:cs="Arial"/>
      <w:kern w:val="2"/>
      <w:lang w:eastAsia="zh-CN" w:bidi="hi-IN"/>
    </w:rPr>
  </w:style>
  <w:style w:type="character" w:styleId="BesuchteInternetverknpfung">
    <w:name w:val="FollowedHyperlink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-undFuzeile">
    <w:name w:val="Kopf- und Fußzeile"/>
    <w:basedOn w:val="Normal"/>
    <w:qFormat/>
    <w:pPr>
      <w:suppressLineNumbers/>
      <w:tabs>
        <w:tab w:val="clear" w:pos="708"/>
        <w:tab w:val="center" w:pos="5273" w:leader="none"/>
        <w:tab w:val="right" w:pos="10546" w:leader="none"/>
      </w:tabs>
    </w:pPr>
    <w:rPr/>
  </w:style>
  <w:style w:type="paragraph" w:styleId="Kopfzeile">
    <w:name w:val="Header"/>
    <w:basedOn w:val="Kopf-undFuzeile"/>
    <w:pPr>
      <w:suppressLineNumbers/>
    </w:pPr>
    <w:rPr/>
  </w:style>
  <w:style w:type="paragraph" w:styleId="Fuzeile">
    <w:name w:val="Footer"/>
    <w:basedOn w:val="Kopf-undFuzeile"/>
    <w:pPr>
      <w:suppressLineNumbers/>
    </w:pPr>
    <w:rPr/>
  </w:style>
  <w:style w:type="numbering" w:styleId="KeineListe">
    <w:name w:val="Kein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homas.k@posteo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LibreOffice/7.5.5.2$Linux_X86_64 LibreOffice_project/50$Build-2</Application>
  <AppVersion>15.0000</AppVersion>
  <Pages>4</Pages>
  <Words>1052</Words>
  <Characters>7642</Characters>
  <CharactersWithSpaces>8681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2018-03-06T23:24:00Z</dcterms:created>
  <dc:creator>Nadine</dc:creator>
  <dc:description/>
  <dc:language>de-DE</dc:language>
  <cp:lastModifiedBy/>
  <cp:lastPrinted>2019-05-01T01:05:25Z</cp:lastPrinted>
  <dcterms:modified xsi:type="dcterms:W3CDTF">2023-09-01T22:31:04Z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